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F919" w14:textId="77777777" w:rsidR="007B4358" w:rsidRDefault="007B4358" w:rsidP="00BB45AA">
      <w:pPr>
        <w:rPr>
          <w:rFonts w:ascii="Calibri" w:hAnsi="Calibri" w:cs="Calibri"/>
          <w:b/>
          <w:i/>
          <w:iCs/>
          <w:color w:val="FF0000"/>
          <w:sz w:val="28"/>
          <w:szCs w:val="28"/>
          <w:u w:val="single"/>
        </w:rPr>
      </w:pPr>
    </w:p>
    <w:p w14:paraId="2A90969E" w14:textId="77777777" w:rsidR="007B4358" w:rsidRDefault="007B4358" w:rsidP="00BB45AA">
      <w:pPr>
        <w:rPr>
          <w:rFonts w:ascii="Calibri" w:hAnsi="Calibri" w:cs="Calibri"/>
          <w:b/>
          <w:i/>
          <w:iCs/>
          <w:color w:val="FF0000"/>
          <w:sz w:val="28"/>
          <w:szCs w:val="28"/>
          <w:u w:val="single"/>
        </w:rPr>
      </w:pPr>
    </w:p>
    <w:p w14:paraId="45F730AD" w14:textId="77777777" w:rsidR="00C25A5B" w:rsidRDefault="00C25A5B" w:rsidP="00C25A5B">
      <w:pPr>
        <w:ind w:left="142"/>
      </w:pPr>
      <w:r>
        <w:rPr>
          <w:noProof/>
        </w:rPr>
        <w:drawing>
          <wp:inline distT="0" distB="0" distL="0" distR="0" wp14:anchorId="2C433546" wp14:editId="295F99EB">
            <wp:extent cx="3497172" cy="1015308"/>
            <wp:effectExtent l="0" t="0" r="0" b="0"/>
            <wp:docPr id="12" name="Picture 1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624" cy="102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4347" w14:textId="77777777" w:rsidR="00C25A5B" w:rsidRDefault="00C25A5B" w:rsidP="00C25A5B">
      <w:pPr>
        <w:jc w:val="center"/>
      </w:pPr>
      <w:r w:rsidRPr="00F21C11">
        <w:rPr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09DE4" wp14:editId="53D625A5">
                <wp:simplePos x="0" y="0"/>
                <wp:positionH relativeFrom="column">
                  <wp:posOffset>149400</wp:posOffset>
                </wp:positionH>
                <wp:positionV relativeFrom="paragraph">
                  <wp:posOffset>283723</wp:posOffset>
                </wp:positionV>
                <wp:extent cx="1778621" cy="2757"/>
                <wp:effectExtent l="19050" t="38100" r="5080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621" cy="2757"/>
                        </a:xfrm>
                        <a:prstGeom prst="line">
                          <a:avLst/>
                        </a:prstGeom>
                        <a:ln w="66675">
                          <a:solidFill>
                            <a:srgbClr val="FF6B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D1D85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5pt,22.35pt" to="151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" strokecolor="#ff6b00" strokeweight="5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F0168" wp14:editId="1295E427">
                <wp:simplePos x="0" y="0"/>
                <wp:positionH relativeFrom="column">
                  <wp:posOffset>-907254</wp:posOffset>
                </wp:positionH>
                <wp:positionV relativeFrom="paragraph">
                  <wp:posOffset>287020</wp:posOffset>
                </wp:positionV>
                <wp:extent cx="7540388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3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8F903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22.6pt" to="522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" strokecolor="black [3213]" strokeweight=".5pt">
                <v:stroke opacity="13107f" joinstyle="miter"/>
              </v:line>
            </w:pict>
          </mc:Fallback>
        </mc:AlternateContent>
      </w:r>
    </w:p>
    <w:p w14:paraId="7908B9E1" w14:textId="77777777" w:rsidR="00C25A5B" w:rsidRDefault="00C25A5B" w:rsidP="00C25A5B">
      <w:pPr>
        <w:jc w:val="center"/>
      </w:pPr>
    </w:p>
    <w:p w14:paraId="5ECFEAB1" w14:textId="77777777" w:rsidR="00C25A5B" w:rsidRDefault="00C25A5B" w:rsidP="00C25A5B">
      <w:pPr>
        <w:jc w:val="center"/>
      </w:pPr>
    </w:p>
    <w:p w14:paraId="696B6F2D" w14:textId="4129BA97" w:rsidR="00C25A5B" w:rsidRDefault="00E747A0" w:rsidP="00C25A5B">
      <w:pPr>
        <w:jc w:val="center"/>
        <w:rPr>
          <w:color w:val="FF6B00"/>
        </w:rPr>
      </w:pPr>
      <w:r w:rsidRPr="00F21C11">
        <w:rPr>
          <w:noProof/>
          <w:color w:val="FF6B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C2861E" wp14:editId="03F6E290">
                <wp:simplePos x="0" y="0"/>
                <wp:positionH relativeFrom="margin">
                  <wp:posOffset>19050</wp:posOffset>
                </wp:positionH>
                <wp:positionV relativeFrom="paragraph">
                  <wp:posOffset>225425</wp:posOffset>
                </wp:positionV>
                <wp:extent cx="6478270" cy="4582795"/>
                <wp:effectExtent l="0" t="0" r="0" b="8255"/>
                <wp:wrapSquare wrapText="bothSides"/>
                <wp:docPr id="1482275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458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9EE6" w14:textId="78E7FDC8" w:rsidR="00C47608" w:rsidRPr="006D591A" w:rsidRDefault="00C47608" w:rsidP="00C47608">
                            <w:pPr>
                              <w:spacing w:line="216" w:lineRule="auto"/>
                              <w:rPr>
                                <w:rFonts w:ascii="UniZgLight" w:hAnsi="UniZgLigh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niZgMedium" w:hAnsi="UniZgMedium"/>
                                <w:b/>
                                <w:bCs/>
                                <w:sz w:val="144"/>
                                <w:szCs w:val="144"/>
                              </w:rPr>
                              <w:t>Prijava</w:t>
                            </w:r>
                            <w:r w:rsidRPr="006D591A">
                              <w:rPr>
                                <w:rFonts w:ascii="UniZgMedium" w:hAnsi="UniZgMedium"/>
                                <w:sz w:val="96"/>
                                <w:szCs w:val="96"/>
                              </w:rPr>
                              <w:t xml:space="preserve"> i</w:t>
                            </w:r>
                            <w:r>
                              <w:rPr>
                                <w:rFonts w:ascii="UniZgMedium" w:hAnsi="UniZgMedium"/>
                                <w:sz w:val="96"/>
                                <w:szCs w:val="96"/>
                              </w:rPr>
                              <w:t>ndustrijskog dizajna</w:t>
                            </w:r>
                            <w:r w:rsidRPr="006D591A">
                              <w:rPr>
                                <w:rFonts w:ascii="UniZgMedium" w:hAnsi="UniZgMedium"/>
                                <w:sz w:val="96"/>
                                <w:szCs w:val="96"/>
                              </w:rPr>
                              <w:t xml:space="preserve"> Sveučilišta u Zagrebu</w:t>
                            </w:r>
                            <w:r w:rsidR="00E747A0" w:rsidRPr="00E747A0">
                              <w:rPr>
                                <w:rFonts w:ascii="UniZgMedium" w:hAnsi="UniZgMedium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E747A0" w:rsidRPr="006D591A">
                              <w:rPr>
                                <w:rFonts w:ascii="UniZgMedium" w:hAnsi="UniZgMedium"/>
                                <w:sz w:val="96"/>
                                <w:szCs w:val="96"/>
                              </w:rPr>
                              <w:t>Građevinsko</w:t>
                            </w:r>
                            <w:r w:rsidR="00E747A0">
                              <w:rPr>
                                <w:rFonts w:ascii="UniZgMedium" w:hAnsi="UniZgMedium"/>
                                <w:sz w:val="96"/>
                                <w:szCs w:val="96"/>
                              </w:rPr>
                              <w:t>g</w:t>
                            </w:r>
                            <w:r w:rsidR="00E747A0" w:rsidRPr="006D591A">
                              <w:rPr>
                                <w:rFonts w:ascii="UniZgMedium" w:hAnsi="UniZgMedium"/>
                                <w:sz w:val="96"/>
                                <w:szCs w:val="96"/>
                              </w:rPr>
                              <w:t xml:space="preserve"> fakultet</w:t>
                            </w:r>
                            <w:r w:rsidR="00E747A0">
                              <w:rPr>
                                <w:rFonts w:ascii="UniZgMedium" w:hAnsi="UniZgMedium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286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7.75pt;width:510.1pt;height:36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" stroked="f">
                <v:textbox>
                  <w:txbxContent>
                    <w:p w14:paraId="2F069EE6" w14:textId="78E7FDC8" w:rsidR="00C47608" w:rsidRPr="006D591A" w:rsidRDefault="00C47608" w:rsidP="00C47608">
                      <w:pPr>
                        <w:spacing w:line="216" w:lineRule="auto"/>
                        <w:rPr>
                          <w:rFonts w:ascii="UniZgLight" w:hAnsi="UniZgLight"/>
                          <w:sz w:val="56"/>
                          <w:szCs w:val="56"/>
                        </w:rPr>
                      </w:pPr>
                      <w:r>
                        <w:rPr>
                          <w:rFonts w:ascii="UniZgMedium" w:hAnsi="UniZgMedium"/>
                          <w:b/>
                          <w:bCs/>
                          <w:sz w:val="144"/>
                          <w:szCs w:val="144"/>
                        </w:rPr>
                        <w:t>Prijava</w:t>
                      </w:r>
                      <w:r w:rsidRPr="006D591A">
                        <w:rPr>
                          <w:rFonts w:ascii="UniZgMedium" w:hAnsi="UniZgMedium"/>
                          <w:sz w:val="96"/>
                          <w:szCs w:val="96"/>
                        </w:rPr>
                        <w:t xml:space="preserve"> i</w:t>
                      </w:r>
                      <w:r>
                        <w:rPr>
                          <w:rFonts w:ascii="UniZgMedium" w:hAnsi="UniZgMedium"/>
                          <w:sz w:val="96"/>
                          <w:szCs w:val="96"/>
                        </w:rPr>
                        <w:t>ndustrijskog dizajna</w:t>
                      </w:r>
                      <w:r w:rsidRPr="006D591A">
                        <w:rPr>
                          <w:rFonts w:ascii="UniZgMedium" w:hAnsi="UniZgMedium"/>
                          <w:sz w:val="96"/>
                          <w:szCs w:val="96"/>
                        </w:rPr>
                        <w:t xml:space="preserve"> Sveučilišta u Zagrebu</w:t>
                      </w:r>
                      <w:r w:rsidR="00E747A0" w:rsidRPr="00E747A0">
                        <w:rPr>
                          <w:rFonts w:ascii="UniZgMedium" w:hAnsi="UniZgMedium"/>
                          <w:sz w:val="96"/>
                          <w:szCs w:val="96"/>
                        </w:rPr>
                        <w:t xml:space="preserve"> </w:t>
                      </w:r>
                      <w:r w:rsidR="00E747A0" w:rsidRPr="006D591A">
                        <w:rPr>
                          <w:rFonts w:ascii="UniZgMedium" w:hAnsi="UniZgMedium"/>
                          <w:sz w:val="96"/>
                          <w:szCs w:val="96"/>
                        </w:rPr>
                        <w:t>Građevinsko</w:t>
                      </w:r>
                      <w:r w:rsidR="00E747A0">
                        <w:rPr>
                          <w:rFonts w:ascii="UniZgMedium" w:hAnsi="UniZgMedium"/>
                          <w:sz w:val="96"/>
                          <w:szCs w:val="96"/>
                        </w:rPr>
                        <w:t>g</w:t>
                      </w:r>
                      <w:r w:rsidR="00E747A0" w:rsidRPr="006D591A">
                        <w:rPr>
                          <w:rFonts w:ascii="UniZgMedium" w:hAnsi="UniZgMedium"/>
                          <w:sz w:val="96"/>
                          <w:szCs w:val="96"/>
                        </w:rPr>
                        <w:t xml:space="preserve"> fakultet</w:t>
                      </w:r>
                      <w:r w:rsidR="00E747A0">
                        <w:rPr>
                          <w:rFonts w:ascii="UniZgMedium" w:hAnsi="UniZgMedium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3BDDE5" w14:textId="209FE25F" w:rsidR="0086685C" w:rsidRDefault="0086685C" w:rsidP="00C25A5B">
      <w:pPr>
        <w:jc w:val="center"/>
        <w:rPr>
          <w:color w:val="FF6B00"/>
        </w:rPr>
      </w:pPr>
    </w:p>
    <w:p w14:paraId="5994FA3F" w14:textId="4F779E77" w:rsidR="00C25A5B" w:rsidRDefault="00C25A5B" w:rsidP="00C25A5B">
      <w:pPr>
        <w:jc w:val="center"/>
      </w:pPr>
    </w:p>
    <w:p w14:paraId="4351281D" w14:textId="77777777" w:rsidR="00C25A5B" w:rsidRDefault="00C25A5B" w:rsidP="00C25A5B">
      <w:pPr>
        <w:jc w:val="center"/>
      </w:pPr>
    </w:p>
    <w:p w14:paraId="1B7CC996" w14:textId="77777777" w:rsidR="00C25A5B" w:rsidRDefault="00C25A5B" w:rsidP="00C25A5B">
      <w:pPr>
        <w:jc w:val="center"/>
      </w:pPr>
    </w:p>
    <w:p w14:paraId="1D4E4C4C" w14:textId="77777777" w:rsidR="00C25A5B" w:rsidRDefault="00C25A5B" w:rsidP="00C25A5B">
      <w:pPr>
        <w:jc w:val="center"/>
      </w:pPr>
    </w:p>
    <w:p w14:paraId="5FD1BA0D" w14:textId="77777777" w:rsidR="00C25A5B" w:rsidRDefault="00C25A5B" w:rsidP="00C25A5B">
      <w:pPr>
        <w:jc w:val="center"/>
      </w:pPr>
    </w:p>
    <w:p w14:paraId="0BDB78A4" w14:textId="77777777" w:rsidR="00C25A5B" w:rsidRDefault="00C25A5B" w:rsidP="00C25A5B">
      <w:pPr>
        <w:jc w:val="center"/>
      </w:pPr>
    </w:p>
    <w:p w14:paraId="7DAFDEFA" w14:textId="77777777" w:rsidR="00C25A5B" w:rsidRDefault="00C25A5B" w:rsidP="00C25A5B">
      <w:pPr>
        <w:jc w:val="center"/>
      </w:pPr>
    </w:p>
    <w:p w14:paraId="5F0A0DE3" w14:textId="77777777" w:rsidR="00C25A5B" w:rsidRDefault="00C25A5B" w:rsidP="00C25A5B">
      <w:pPr>
        <w:jc w:val="center"/>
      </w:pPr>
    </w:p>
    <w:p w14:paraId="1FC39B0D" w14:textId="77777777" w:rsidR="00C25A5B" w:rsidRDefault="00C25A5B" w:rsidP="00C25A5B">
      <w:pPr>
        <w:jc w:val="center"/>
      </w:pPr>
    </w:p>
    <w:p w14:paraId="2E20168B" w14:textId="77777777" w:rsidR="00C25A5B" w:rsidRDefault="00C25A5B" w:rsidP="00C25A5B">
      <w:pPr>
        <w:jc w:val="center"/>
      </w:pPr>
    </w:p>
    <w:p w14:paraId="200D9DA7" w14:textId="77777777" w:rsidR="00C25A5B" w:rsidRDefault="00C25A5B" w:rsidP="00C25A5B">
      <w:pPr>
        <w:jc w:val="center"/>
      </w:pPr>
    </w:p>
    <w:p w14:paraId="48DC43D7" w14:textId="5E2A679C" w:rsidR="00E21F35" w:rsidRDefault="00E21F35" w:rsidP="00E21F35">
      <w:r>
        <w:rPr>
          <w:noProof/>
        </w:rPr>
        <w:drawing>
          <wp:inline distT="0" distB="0" distL="0" distR="0" wp14:anchorId="007C6C84" wp14:editId="076FD0E2">
            <wp:extent cx="752475" cy="781050"/>
            <wp:effectExtent l="0" t="0" r="9525" b="0"/>
            <wp:docPr id="419092594" name="Picture 1" descr="A black and orange and grey geometric shap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black and orange and grey geometric shap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376E2" w14:textId="77777777" w:rsidR="00E21F35" w:rsidRDefault="00E21F35" w:rsidP="00E21F35">
      <w:pPr>
        <w:jc w:val="both"/>
        <w:rPr>
          <w:rFonts w:ascii="Titillium Web" w:hAnsi="Titillium Web" w:cs="Calibri"/>
          <w:b/>
          <w:bCs/>
          <w:i/>
          <w:iCs/>
        </w:rPr>
      </w:pPr>
    </w:p>
    <w:p w14:paraId="7C948587" w14:textId="77777777" w:rsidR="00E21F35" w:rsidRDefault="00E21F35" w:rsidP="00E21F35">
      <w:pPr>
        <w:jc w:val="both"/>
        <w:rPr>
          <w:rFonts w:ascii="Titillium Web" w:hAnsi="Titillium Web" w:cs="Calibri"/>
          <w:b/>
          <w:bCs/>
          <w:i/>
          <w:iCs/>
        </w:rPr>
      </w:pPr>
    </w:p>
    <w:p w14:paraId="68D38C8B" w14:textId="77777777" w:rsidR="00E21F35" w:rsidRDefault="00E21F35" w:rsidP="00E21F35">
      <w:pPr>
        <w:jc w:val="both"/>
        <w:rPr>
          <w:rFonts w:ascii="Titillium Web" w:hAnsi="Titillium Web" w:cs="Calibri"/>
          <w:b/>
          <w:bCs/>
        </w:rPr>
      </w:pPr>
      <w:r>
        <w:rPr>
          <w:rFonts w:ascii="Titillium Web" w:hAnsi="Titillium Web" w:cs="Calibri"/>
          <w:b/>
          <w:bCs/>
        </w:rPr>
        <w:t>Uvodna napomena</w:t>
      </w:r>
    </w:p>
    <w:p w14:paraId="16C39E1E" w14:textId="77777777" w:rsidR="00E21F35" w:rsidRDefault="00E21F35" w:rsidP="00E21F35">
      <w:pPr>
        <w:jc w:val="both"/>
        <w:rPr>
          <w:rFonts w:ascii="Titillium Web" w:hAnsi="Titillium Web" w:cs="Calibri"/>
        </w:rPr>
      </w:pPr>
    </w:p>
    <w:p w14:paraId="6995B4C5" w14:textId="5FCBD592" w:rsidR="00E21F35" w:rsidRDefault="00E21F35" w:rsidP="00E21F35">
      <w:pPr>
        <w:jc w:val="both"/>
        <w:rPr>
          <w:rFonts w:ascii="Titillium Web" w:hAnsi="Titillium Web" w:cs="Calibri"/>
        </w:rPr>
      </w:pPr>
      <w:r>
        <w:rPr>
          <w:rFonts w:ascii="Titillium Web" w:hAnsi="Titillium Web" w:cs="Calibri"/>
        </w:rPr>
        <w:t>Ova prijava služi za evidenciju prijavljenog industrijskog dizajna</w:t>
      </w:r>
      <w:r>
        <w:rPr>
          <w:rStyle w:val="FootnoteReference"/>
          <w:rFonts w:ascii="Titillium Web" w:hAnsi="Titillium Web" w:cs="Calibri"/>
        </w:rPr>
        <w:footnoteReference w:id="2"/>
      </w:r>
      <w:r>
        <w:rPr>
          <w:rFonts w:ascii="Titillium Web" w:hAnsi="Titillium Web" w:cs="Calibri"/>
        </w:rPr>
        <w:t xml:space="preserve"> </w:t>
      </w:r>
      <w:r w:rsidR="00E747A0">
        <w:rPr>
          <w:rFonts w:ascii="Titillium Web" w:hAnsi="Titillium Web" w:cs="Calibri"/>
        </w:rPr>
        <w:t>Sveučilišta u Zagrebu</w:t>
      </w:r>
      <w:r w:rsidR="00E747A0">
        <w:rPr>
          <w:rFonts w:ascii="Titillium Web" w:hAnsi="Titillium Web" w:cs="Calibri"/>
        </w:rPr>
        <w:t xml:space="preserve"> </w:t>
      </w:r>
      <w:r>
        <w:rPr>
          <w:rFonts w:ascii="Titillium Web" w:hAnsi="Titillium Web" w:cs="Calibri"/>
        </w:rPr>
        <w:t>Građevinskog fakulteta.</w:t>
      </w:r>
    </w:p>
    <w:p w14:paraId="2F44DB89" w14:textId="77777777" w:rsidR="00E21F35" w:rsidRDefault="00E21F35" w:rsidP="00E21F35">
      <w:pPr>
        <w:jc w:val="both"/>
        <w:rPr>
          <w:rFonts w:ascii="Titillium Web" w:hAnsi="Titillium Web" w:cs="Calibri"/>
        </w:rPr>
      </w:pPr>
      <w:r>
        <w:rPr>
          <w:rFonts w:ascii="Titillium Web" w:hAnsi="Titillium Web" w:cs="Calibri"/>
        </w:rPr>
        <w:t xml:space="preserve">Prije podnošenja prijave sastavnici, za pomoć u ispunjavanju prijave možete kontaktirati: </w:t>
      </w:r>
    </w:p>
    <w:p w14:paraId="7FA6D4CE" w14:textId="29CD35BB" w:rsidR="00E21F35" w:rsidRDefault="00E21F35" w:rsidP="00E21F35">
      <w:pPr>
        <w:ind w:left="708"/>
        <w:jc w:val="both"/>
        <w:rPr>
          <w:rFonts w:ascii="Titillium Web" w:hAnsi="Titillium Web" w:cs="Calibri"/>
          <w:iCs/>
        </w:rPr>
      </w:pPr>
      <w:r>
        <w:rPr>
          <w:rFonts w:ascii="Titillium Web" w:hAnsi="Titillium Web" w:cs="Calibri"/>
          <w:iCs/>
        </w:rPr>
        <w:t>Sveučilište u Zagrebu Građevinski fakultet</w:t>
      </w:r>
    </w:p>
    <w:p w14:paraId="3E3EF253" w14:textId="77777777" w:rsidR="00E21F35" w:rsidRDefault="00E21F35" w:rsidP="00E21F35">
      <w:pPr>
        <w:ind w:left="708"/>
        <w:jc w:val="both"/>
        <w:rPr>
          <w:rFonts w:ascii="Titillium Web" w:hAnsi="Titillium Web" w:cs="Calibri"/>
          <w:iCs/>
        </w:rPr>
      </w:pPr>
      <w:r>
        <w:rPr>
          <w:rFonts w:ascii="Titillium Web" w:hAnsi="Titillium Web" w:cs="Calibri"/>
          <w:iCs/>
        </w:rPr>
        <w:t>Centar za projekte, inovacije i transfer tehnologije</w:t>
      </w:r>
    </w:p>
    <w:p w14:paraId="0FE32E00" w14:textId="77777777" w:rsidR="00E21F35" w:rsidRDefault="00E21F35" w:rsidP="00E21F35">
      <w:pPr>
        <w:ind w:left="708"/>
        <w:jc w:val="both"/>
        <w:rPr>
          <w:rFonts w:ascii="Titillium Web" w:hAnsi="Titillium Web" w:cs="Calibri"/>
          <w:iCs/>
        </w:rPr>
      </w:pPr>
      <w:r>
        <w:rPr>
          <w:rFonts w:ascii="Titillium Web" w:hAnsi="Titillium Web" w:cs="Calibri"/>
          <w:iCs/>
        </w:rPr>
        <w:t>Osobe za kontakt:</w:t>
      </w:r>
    </w:p>
    <w:p w14:paraId="1968734B" w14:textId="2F1AC6FF" w:rsidR="00E21F35" w:rsidRDefault="00E21F35" w:rsidP="00E21F35">
      <w:pPr>
        <w:numPr>
          <w:ilvl w:val="0"/>
          <w:numId w:val="4"/>
        </w:numPr>
        <w:jc w:val="both"/>
        <w:rPr>
          <w:rFonts w:ascii="Titillium Web" w:hAnsi="Titillium Web" w:cs="Calibri"/>
          <w:iCs/>
        </w:rPr>
      </w:pPr>
      <w:r>
        <w:rPr>
          <w:rFonts w:ascii="Titillium Web" w:hAnsi="Titillium Web" w:cs="Calibri"/>
          <w:iCs/>
        </w:rPr>
        <w:t xml:space="preserve">Kristina Baraba </w:t>
      </w:r>
      <w:proofErr w:type="spellStart"/>
      <w:r>
        <w:rPr>
          <w:rFonts w:ascii="Titillium Web" w:hAnsi="Titillium Web" w:cs="Calibri"/>
          <w:iCs/>
        </w:rPr>
        <w:t>Posarić</w:t>
      </w:r>
      <w:proofErr w:type="spellEnd"/>
      <w:r>
        <w:rPr>
          <w:rFonts w:ascii="Titillium Web" w:hAnsi="Titillium Web" w:cs="Calibri"/>
          <w:iCs/>
        </w:rPr>
        <w:t xml:space="preserve">, voditeljica </w:t>
      </w:r>
      <w:r w:rsidR="00E747A0">
        <w:rPr>
          <w:rFonts w:ascii="Titillium Web" w:hAnsi="Titillium Web" w:cs="Calibri"/>
          <w:iCs/>
        </w:rPr>
        <w:t>(</w:t>
      </w:r>
      <w:proofErr w:type="spellStart"/>
      <w:r w:rsidR="00E747A0">
        <w:rPr>
          <w:rFonts w:ascii="Titillium Web" w:hAnsi="Titillium Web" w:cs="Calibri"/>
          <w:iCs/>
        </w:rPr>
        <w:t>rodiljni</w:t>
      </w:r>
      <w:proofErr w:type="spellEnd"/>
      <w:r w:rsidR="00E747A0">
        <w:rPr>
          <w:rFonts w:ascii="Titillium Web" w:hAnsi="Titillium Web" w:cs="Calibri"/>
          <w:iCs/>
        </w:rPr>
        <w:t xml:space="preserve"> dopust)</w:t>
      </w:r>
    </w:p>
    <w:p w14:paraId="571BCE0D" w14:textId="2022FC2B" w:rsidR="00E21F35" w:rsidRDefault="00E21F35" w:rsidP="00E21F35">
      <w:pPr>
        <w:numPr>
          <w:ilvl w:val="0"/>
          <w:numId w:val="4"/>
        </w:numPr>
        <w:jc w:val="both"/>
        <w:rPr>
          <w:rFonts w:ascii="Titillium Web" w:hAnsi="Titillium Web" w:cs="Calibri"/>
          <w:iCs/>
        </w:rPr>
      </w:pPr>
      <w:r>
        <w:rPr>
          <w:rFonts w:ascii="Titillium Web" w:hAnsi="Titillium Web" w:cs="Calibri"/>
          <w:iCs/>
        </w:rPr>
        <w:t>Ida Javorski Milošić, voditeljic</w:t>
      </w:r>
      <w:r w:rsidR="00E747A0">
        <w:rPr>
          <w:rFonts w:ascii="Titillium Web" w:hAnsi="Titillium Web" w:cs="Calibri"/>
          <w:iCs/>
        </w:rPr>
        <w:t>a</w:t>
      </w:r>
    </w:p>
    <w:p w14:paraId="60BC9F57" w14:textId="77777777" w:rsidR="00E21F35" w:rsidRDefault="00E21F35" w:rsidP="00E21F35">
      <w:pPr>
        <w:ind w:left="708"/>
        <w:jc w:val="both"/>
        <w:rPr>
          <w:rFonts w:ascii="Titillium Web" w:hAnsi="Titillium Web" w:cs="Calibri"/>
          <w:iCs/>
        </w:rPr>
      </w:pPr>
      <w:r>
        <w:rPr>
          <w:rFonts w:ascii="Titillium Web" w:hAnsi="Titillium Web" w:cs="Calibri"/>
          <w:iCs/>
        </w:rPr>
        <w:t xml:space="preserve">E-mail: cepitt@grad.unizg.hr </w:t>
      </w:r>
    </w:p>
    <w:p w14:paraId="3F39A58C" w14:textId="77777777" w:rsidR="00E21F35" w:rsidRDefault="00E21F35" w:rsidP="00E21F35">
      <w:pPr>
        <w:rPr>
          <w:rFonts w:ascii="Titillium Web" w:hAnsi="Titillium Web" w:cs="Calibri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E21F35" w14:paraId="7CB8C964" w14:textId="77777777" w:rsidTr="00E747A0">
        <w:trPr>
          <w:trHeight w:val="53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B6A4" w14:textId="07424BE5" w:rsidR="00E21F35" w:rsidRDefault="00E21F35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r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lastRenderedPageBreak/>
              <w:t xml:space="preserve">Prikaz </w:t>
            </w:r>
            <w:r w:rsidR="00F90AB1"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>dizajna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BC22" w14:textId="77777777" w:rsidR="00E21F35" w:rsidRDefault="00E21F35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3F57E65D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288A46AB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51B141ED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2CD5D70A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08C26A75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7204EA46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2A2CEEF2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1D9A6F56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54D1D3A9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10337E77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77ADFFF0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6E27E361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57935E6A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3C929F8A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5CAD4981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66D0AFDD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47BB6FB2" w14:textId="77777777" w:rsidR="00931141" w:rsidRDefault="00931141">
            <w:pPr>
              <w:pStyle w:val="box460215"/>
              <w:rPr>
                <w:rFonts w:ascii="Titillium Web" w:eastAsia="MS Gothic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E21F35" w14:paraId="34482C32" w14:textId="77777777" w:rsidTr="00E747A0">
        <w:trPr>
          <w:trHeight w:val="29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F757" w14:textId="22131407" w:rsidR="00E21F35" w:rsidRDefault="00F90AB1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r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>Opis kojim se pobliže objašnjava prikaz ili uzorak dizajna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60B" w14:textId="77777777" w:rsidR="00E21F35" w:rsidRDefault="00E21F35">
            <w:pPr>
              <w:pStyle w:val="box460215"/>
              <w:spacing w:before="0" w:beforeAutospacing="0" w:after="0" w:afterAutospacing="0"/>
              <w:ind w:left="720"/>
              <w:rPr>
                <w:rFonts w:ascii="Titillium Web" w:eastAsia="MS Gothic" w:hAnsi="Titillium Web" w:cs="Open Sans"/>
                <w:sz w:val="21"/>
                <w:szCs w:val="21"/>
                <w:lang w:eastAsia="en-US"/>
              </w:rPr>
            </w:pPr>
          </w:p>
          <w:p w14:paraId="4837FD5F" w14:textId="77777777" w:rsidR="00931141" w:rsidRDefault="00931141">
            <w:pPr>
              <w:pStyle w:val="box460215"/>
              <w:spacing w:before="0" w:beforeAutospacing="0" w:after="0" w:afterAutospacing="0"/>
              <w:ind w:left="720"/>
              <w:rPr>
                <w:rFonts w:ascii="Titillium Web" w:eastAsia="MS Gothic" w:hAnsi="Titillium Web" w:cs="Open Sans"/>
                <w:sz w:val="21"/>
                <w:szCs w:val="21"/>
                <w:lang w:eastAsia="en-US"/>
              </w:rPr>
            </w:pPr>
          </w:p>
          <w:p w14:paraId="474CE1D9" w14:textId="77777777" w:rsidR="00931141" w:rsidRDefault="00931141">
            <w:pPr>
              <w:pStyle w:val="box460215"/>
              <w:spacing w:before="0" w:beforeAutospacing="0" w:after="0" w:afterAutospacing="0"/>
              <w:ind w:left="720"/>
              <w:rPr>
                <w:rFonts w:ascii="Titillium Web" w:eastAsia="MS Gothic" w:hAnsi="Titillium Web" w:cs="Open Sans"/>
                <w:sz w:val="21"/>
                <w:szCs w:val="21"/>
                <w:lang w:eastAsia="en-US"/>
              </w:rPr>
            </w:pPr>
          </w:p>
          <w:p w14:paraId="539F20B0" w14:textId="77777777" w:rsidR="00931141" w:rsidRDefault="00931141">
            <w:pPr>
              <w:pStyle w:val="box460215"/>
              <w:spacing w:before="0" w:beforeAutospacing="0" w:after="0" w:afterAutospacing="0"/>
              <w:ind w:left="720"/>
              <w:rPr>
                <w:rFonts w:ascii="Titillium Web" w:eastAsia="MS Gothic" w:hAnsi="Titillium Web" w:cs="Open Sans"/>
                <w:sz w:val="21"/>
                <w:szCs w:val="21"/>
                <w:lang w:eastAsia="en-US"/>
              </w:rPr>
            </w:pPr>
          </w:p>
          <w:p w14:paraId="50FCD019" w14:textId="77777777" w:rsidR="00931141" w:rsidRDefault="00931141">
            <w:pPr>
              <w:pStyle w:val="box460215"/>
              <w:spacing w:before="0" w:beforeAutospacing="0" w:after="0" w:afterAutospacing="0"/>
              <w:ind w:left="720"/>
              <w:rPr>
                <w:rFonts w:ascii="Titillium Web" w:eastAsia="MS Gothic" w:hAnsi="Titillium Web" w:cs="Open Sans"/>
                <w:sz w:val="21"/>
                <w:szCs w:val="21"/>
                <w:lang w:eastAsia="en-US"/>
              </w:rPr>
            </w:pPr>
          </w:p>
          <w:p w14:paraId="5315F48F" w14:textId="77777777" w:rsidR="00931141" w:rsidRDefault="00931141">
            <w:pPr>
              <w:pStyle w:val="box460215"/>
              <w:spacing w:before="0" w:beforeAutospacing="0" w:after="0" w:afterAutospacing="0"/>
              <w:ind w:left="720"/>
              <w:rPr>
                <w:rFonts w:ascii="Titillium Web" w:eastAsia="MS Gothic" w:hAnsi="Titillium Web" w:cs="Open Sans"/>
                <w:sz w:val="21"/>
                <w:szCs w:val="21"/>
                <w:lang w:eastAsia="en-US"/>
              </w:rPr>
            </w:pPr>
          </w:p>
          <w:p w14:paraId="0E214CAC" w14:textId="77777777" w:rsidR="00931141" w:rsidRDefault="00931141">
            <w:pPr>
              <w:pStyle w:val="box460215"/>
              <w:spacing w:before="0" w:beforeAutospacing="0" w:after="0" w:afterAutospacing="0"/>
              <w:ind w:left="720"/>
              <w:rPr>
                <w:rFonts w:ascii="Titillium Web" w:eastAsia="MS Gothic" w:hAnsi="Titillium Web" w:cs="Open Sans"/>
                <w:sz w:val="21"/>
                <w:szCs w:val="21"/>
                <w:lang w:eastAsia="en-US"/>
              </w:rPr>
            </w:pPr>
          </w:p>
          <w:p w14:paraId="12E8E76F" w14:textId="77777777" w:rsidR="00931141" w:rsidRDefault="00931141">
            <w:pPr>
              <w:pStyle w:val="box460215"/>
              <w:spacing w:before="0" w:beforeAutospacing="0" w:after="0" w:afterAutospacing="0"/>
              <w:ind w:left="720"/>
              <w:rPr>
                <w:rFonts w:ascii="Titillium Web" w:eastAsia="MS Gothic" w:hAnsi="Titillium Web" w:cs="Open Sans"/>
                <w:sz w:val="21"/>
                <w:szCs w:val="21"/>
                <w:lang w:eastAsia="en-US"/>
              </w:rPr>
            </w:pPr>
          </w:p>
          <w:p w14:paraId="75553912" w14:textId="77777777" w:rsidR="00931141" w:rsidRDefault="00931141">
            <w:pPr>
              <w:pStyle w:val="box460215"/>
              <w:spacing w:before="0" w:beforeAutospacing="0" w:after="0" w:afterAutospacing="0"/>
              <w:ind w:left="720"/>
              <w:rPr>
                <w:rFonts w:ascii="Titillium Web" w:eastAsia="MS Gothic" w:hAnsi="Titillium Web" w:cs="Open Sans"/>
                <w:sz w:val="21"/>
                <w:szCs w:val="21"/>
                <w:lang w:eastAsia="en-US"/>
              </w:rPr>
            </w:pPr>
          </w:p>
          <w:p w14:paraId="24177DF7" w14:textId="336DA0F0" w:rsidR="00931141" w:rsidRDefault="00931141">
            <w:pPr>
              <w:pStyle w:val="box460215"/>
              <w:spacing w:before="0" w:beforeAutospacing="0" w:after="0" w:afterAutospacing="0"/>
              <w:ind w:left="720"/>
              <w:rPr>
                <w:rFonts w:ascii="Titillium Web" w:eastAsia="MS Gothic" w:hAnsi="Titillium Web" w:cs="Open Sans"/>
                <w:sz w:val="21"/>
                <w:szCs w:val="21"/>
                <w:lang w:eastAsia="en-US"/>
              </w:rPr>
            </w:pPr>
          </w:p>
        </w:tc>
      </w:tr>
      <w:tr w:rsidR="00931141" w14:paraId="54B8831A" w14:textId="77777777" w:rsidTr="00E747A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11A3" w14:textId="59090608" w:rsidR="00931141" w:rsidRDefault="00931141">
            <w:pPr>
              <w:pStyle w:val="box460215"/>
              <w:spacing w:before="0" w:beforeAutospacing="0" w:after="0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r w:rsidRPr="00931141"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lastRenderedPageBreak/>
              <w:t>Vrsta prijave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768" w14:textId="77777777" w:rsidR="00931141" w:rsidRDefault="00000000" w:rsidP="00931141">
            <w:pPr>
              <w:pStyle w:val="box460215"/>
              <w:spacing w:before="0" w:beforeAutospacing="0" w:after="0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sdt>
              <w:sdtPr>
                <w:rPr>
                  <w:rFonts w:ascii="Titillium Web" w:eastAsia="MS Gothic" w:hAnsi="Titillium Web" w:cs="Open Sans"/>
                  <w:kern w:val="2"/>
                  <w:sz w:val="21"/>
                  <w:szCs w:val="21"/>
                  <w:lang w:eastAsia="en-US"/>
                  <w14:ligatures w14:val="standardContextual"/>
                </w:rPr>
                <w:id w:val="12822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141">
                  <w:rPr>
                    <w:rFonts w:ascii="Segoe UI Symbol" w:eastAsia="MS Gothic" w:hAnsi="Segoe UI Symbol" w:cs="Segoe UI Symbol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931141">
              <w:rPr>
                <w:rFonts w:ascii="Titillium Web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nacionalna prijava</w:t>
            </w:r>
            <w:r w:rsidR="00931141">
              <w:rPr>
                <w:rFonts w:ascii="Titillium Web" w:hAnsi="Titillium Web" w:cs="Open Sans"/>
                <w:color w:val="414145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(DZIV)</w:t>
            </w:r>
          </w:p>
          <w:p w14:paraId="31B31A90" w14:textId="77777777" w:rsidR="00931141" w:rsidRDefault="00000000" w:rsidP="00931141">
            <w:pPr>
              <w:pStyle w:val="box460215"/>
              <w:spacing w:before="0" w:beforeAutospacing="0" w:after="0" w:afterAutospacing="0"/>
              <w:rPr>
                <w:rFonts w:ascii="Titillium Web" w:hAnsi="Titillium Web" w:cs="Open Sans"/>
                <w:color w:val="414145"/>
                <w:kern w:val="2"/>
                <w:sz w:val="21"/>
                <w:szCs w:val="21"/>
                <w:lang w:eastAsia="en-US"/>
                <w14:ligatures w14:val="standardContextual"/>
              </w:rPr>
            </w:pPr>
            <w:sdt>
              <w:sdtPr>
                <w:rPr>
                  <w:rFonts w:ascii="Titillium Web" w:eastAsia="MS Gothic" w:hAnsi="Titillium Web" w:cs="Open Sans"/>
                  <w:kern w:val="2"/>
                  <w:sz w:val="21"/>
                  <w:szCs w:val="21"/>
                  <w:lang w:eastAsia="en-US"/>
                  <w14:ligatures w14:val="standardContextual"/>
                </w:rPr>
                <w:id w:val="-3232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141">
                  <w:rPr>
                    <w:rFonts w:ascii="Segoe UI Symbol" w:eastAsia="MS Gothic" w:hAnsi="Segoe UI Symbol" w:cs="Segoe UI Symbol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931141">
              <w:rPr>
                <w:rFonts w:ascii="Titillium Web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europska prijava</w:t>
            </w:r>
            <w:r w:rsidR="00931141">
              <w:rPr>
                <w:rFonts w:ascii="Titillium Web" w:hAnsi="Titillium Web" w:cs="Open Sans"/>
                <w:color w:val="414145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(EUIPO)</w:t>
            </w:r>
          </w:p>
          <w:p w14:paraId="11D28803" w14:textId="7F980B43" w:rsidR="00931141" w:rsidRDefault="00000000" w:rsidP="00931141">
            <w:pPr>
              <w:pStyle w:val="box460215"/>
              <w:spacing w:before="0" w:beforeAutospacing="0" w:after="0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sdt>
              <w:sdtPr>
                <w:rPr>
                  <w:rFonts w:ascii="Titillium Web" w:eastAsia="MS Gothic" w:hAnsi="Titillium Web" w:cs="Open Sans"/>
                  <w:kern w:val="2"/>
                  <w:sz w:val="21"/>
                  <w:szCs w:val="21"/>
                  <w:lang w:eastAsia="en-US"/>
                  <w14:ligatures w14:val="standardContextual"/>
                </w:rPr>
                <w:id w:val="18821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141">
                  <w:rPr>
                    <w:rFonts w:ascii="Segoe UI Symbol" w:eastAsia="MS Gothic" w:hAnsi="Segoe UI Symbol" w:cs="Segoe UI Symbol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931141">
              <w:rPr>
                <w:rFonts w:ascii="Titillium Web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međunarodna prijava (DZIV-WIPO)</w:t>
            </w:r>
          </w:p>
        </w:tc>
      </w:tr>
      <w:tr w:rsidR="00E21F35" w14:paraId="739D03C6" w14:textId="77777777" w:rsidTr="00E747A0">
        <w:trPr>
          <w:trHeight w:val="8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529F" w14:textId="09BDB1BA" w:rsidR="00E21F35" w:rsidRDefault="00E21F35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r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 xml:space="preserve">Uloga Građevinskog fakulteta </w:t>
            </w:r>
            <w:r w:rsidR="00931141"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>u prijavi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08F" w14:textId="77777777" w:rsidR="00E21F35" w:rsidRDefault="00E21F35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</w:p>
        </w:tc>
      </w:tr>
      <w:tr w:rsidR="00E21F35" w14:paraId="7A804F6E" w14:textId="77777777" w:rsidTr="00E747A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BD5C" w14:textId="77777777" w:rsidR="00E21F35" w:rsidRDefault="00E21F35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r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>Podnositelj prijave je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6B22" w14:textId="77777777" w:rsidR="00E21F35" w:rsidRDefault="00000000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sdt>
              <w:sdtPr>
                <w:rPr>
                  <w:rFonts w:ascii="Titillium Web" w:eastAsia="MS Gothic" w:hAnsi="Titillium Web" w:cs="Open Sans"/>
                  <w:kern w:val="2"/>
                  <w:sz w:val="21"/>
                  <w:szCs w:val="21"/>
                  <w:lang w:eastAsia="en-US"/>
                  <w14:ligatures w14:val="standardContextual"/>
                </w:rPr>
                <w:id w:val="5622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F35">
                  <w:rPr>
                    <w:rFonts w:ascii="Segoe UI Symbol" w:eastAsia="MS Gothic" w:hAnsi="Segoe UI Symbol" w:cs="Segoe UI Symbol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E21F35">
              <w:rPr>
                <w:rFonts w:ascii="Titillium Web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  <w:r w:rsidR="00E21F35">
              <w:rPr>
                <w:rFonts w:ascii="Titillium Web" w:hAnsi="Titillium Web" w:cs="Open Sans"/>
                <w:color w:val="414145"/>
                <w:kern w:val="2"/>
                <w:sz w:val="21"/>
                <w:szCs w:val="21"/>
                <w:lang w:eastAsia="en-US"/>
                <w14:ligatures w14:val="standardContextual"/>
              </w:rPr>
              <w:t>Fizička osoba</w:t>
            </w:r>
          </w:p>
          <w:p w14:paraId="7D09C2BA" w14:textId="77777777" w:rsidR="00E21F35" w:rsidRDefault="00000000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sdt>
              <w:sdtPr>
                <w:rPr>
                  <w:rFonts w:ascii="Titillium Web" w:eastAsia="MS Gothic" w:hAnsi="Titillium Web" w:cs="Open Sans"/>
                  <w:kern w:val="2"/>
                  <w:sz w:val="21"/>
                  <w:szCs w:val="21"/>
                  <w:lang w:eastAsia="en-US"/>
                  <w14:ligatures w14:val="standardContextual"/>
                </w:rPr>
                <w:id w:val="48119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F35">
                  <w:rPr>
                    <w:rFonts w:ascii="Segoe UI Symbol" w:eastAsia="MS Gothic" w:hAnsi="Segoe UI Symbol" w:cs="Segoe UI Symbol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E21F35">
              <w:rPr>
                <w:rFonts w:ascii="Titillium Web" w:hAnsi="Titillium Web" w:cs="Open Sans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  <w:r w:rsidR="00E21F35">
              <w:rPr>
                <w:rFonts w:ascii="Titillium Web" w:hAnsi="Titillium Web" w:cs="Open Sans"/>
                <w:color w:val="414145"/>
                <w:kern w:val="2"/>
                <w:sz w:val="21"/>
                <w:szCs w:val="21"/>
                <w:lang w:eastAsia="en-US"/>
                <w14:ligatures w14:val="standardContextual"/>
              </w:rPr>
              <w:t>Pravna osoba</w:t>
            </w:r>
          </w:p>
        </w:tc>
      </w:tr>
      <w:tr w:rsidR="00E21F35" w14:paraId="6E29BA3F" w14:textId="77777777" w:rsidTr="00E747A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2486" w14:textId="0BE7FD57" w:rsidR="00E21F35" w:rsidRDefault="00931141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r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>Podaci o podnositelju prijave (i</w:t>
            </w:r>
            <w:r w:rsidR="00E21F35"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>me, prezime, OIB, adresa, e-mail i telefon</w:t>
            </w:r>
            <w:r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25F" w14:textId="77777777" w:rsidR="00E21F35" w:rsidRDefault="00E21F35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</w:p>
        </w:tc>
      </w:tr>
      <w:tr w:rsidR="00E21F35" w14:paraId="4D051169" w14:textId="77777777" w:rsidTr="00E747A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E484" w14:textId="0511F704" w:rsidR="00E21F35" w:rsidRDefault="00931141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r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>Podaci o zastupniku (ime, prezime, OIB, adresa, e-mail i telefon)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8FDE" w14:textId="77777777" w:rsidR="00E21F35" w:rsidRDefault="00E21F35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</w:p>
        </w:tc>
      </w:tr>
      <w:tr w:rsidR="00931141" w14:paraId="24AB2CC1" w14:textId="77777777" w:rsidTr="00E747A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951" w14:textId="6CC017B3" w:rsidR="00931141" w:rsidRDefault="00931141" w:rsidP="00931141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r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>Podaci o dizajneru (ime, prezime, OIB, adresa, e-mail i telefon)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F6B" w14:textId="77777777" w:rsidR="00931141" w:rsidRDefault="00931141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</w:p>
        </w:tc>
      </w:tr>
      <w:tr w:rsidR="00E21F35" w14:paraId="0FAAEAD8" w14:textId="77777777" w:rsidTr="00E747A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DA36" w14:textId="77777777" w:rsidR="00E21F35" w:rsidRDefault="00E21F35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  <w:r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  <w:t>Mjesto, datum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721" w14:textId="77777777" w:rsidR="00E21F35" w:rsidRDefault="00E21F35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  <w:lang w:eastAsia="en-US"/>
              </w:rPr>
            </w:pPr>
          </w:p>
        </w:tc>
      </w:tr>
    </w:tbl>
    <w:p w14:paraId="3B74AED2" w14:textId="77777777" w:rsidR="00E21F35" w:rsidRDefault="00E21F35" w:rsidP="00E21F35">
      <w:pPr>
        <w:rPr>
          <w:rFonts w:ascii="Titillium Web" w:hAnsi="Titillium Web" w:cs="Open Sans"/>
          <w:color w:val="414145"/>
        </w:rPr>
      </w:pPr>
    </w:p>
    <w:p w14:paraId="06638D4D" w14:textId="77777777" w:rsidR="00E21F35" w:rsidRPr="00931141" w:rsidRDefault="00E21F35" w:rsidP="00E21F35">
      <w:pPr>
        <w:rPr>
          <w:rFonts w:ascii="Titillium Web" w:hAnsi="Titillium Web" w:cs="Open Sans"/>
          <w:b/>
          <w:bCs/>
          <w:color w:val="414145"/>
        </w:rPr>
      </w:pPr>
      <w:r w:rsidRPr="00931141">
        <w:rPr>
          <w:rFonts w:ascii="Titillium Web" w:hAnsi="Titillium Web" w:cs="Open Sans"/>
          <w:b/>
          <w:bCs/>
          <w:color w:val="414145"/>
        </w:rPr>
        <w:t>Podaci o Fakultetu za potrebe prijave:</w:t>
      </w:r>
    </w:p>
    <w:p w14:paraId="552E0271" w14:textId="77777777" w:rsidR="00931141" w:rsidRPr="00931141" w:rsidRDefault="00931141" w:rsidP="00E21F35">
      <w:pPr>
        <w:rPr>
          <w:rFonts w:ascii="Titillium Web" w:hAnsi="Titillium Web" w:cs="Open Sans"/>
          <w:color w:val="414145"/>
          <w:sz w:val="12"/>
          <w:szCs w:val="12"/>
        </w:rPr>
      </w:pPr>
    </w:p>
    <w:p w14:paraId="4414563D" w14:textId="77777777" w:rsidR="00E21F35" w:rsidRDefault="00E21F35" w:rsidP="00E21F35">
      <w:pPr>
        <w:ind w:left="708"/>
        <w:rPr>
          <w:rFonts w:ascii="Titillium Web" w:hAnsi="Titillium Web" w:cs="Open Sans"/>
          <w:color w:val="414145"/>
        </w:rPr>
      </w:pPr>
      <w:r>
        <w:rPr>
          <w:rFonts w:ascii="Titillium Web" w:hAnsi="Titillium Web" w:cs="Open Sans"/>
          <w:color w:val="414145"/>
        </w:rPr>
        <w:t>Sveučilište u Zagrebu Građevinski fakultet</w:t>
      </w:r>
    </w:p>
    <w:p w14:paraId="5B3D4A3C" w14:textId="2C89B501" w:rsidR="00E21F35" w:rsidRDefault="00E21F35" w:rsidP="00E21F35">
      <w:pPr>
        <w:ind w:left="708"/>
        <w:rPr>
          <w:rFonts w:ascii="Titillium Web" w:hAnsi="Titillium Web" w:cs="Open Sans"/>
          <w:color w:val="414145"/>
        </w:rPr>
      </w:pPr>
      <w:r>
        <w:rPr>
          <w:rFonts w:ascii="Titillium Web" w:hAnsi="Titillium Web" w:cs="Open Sans"/>
          <w:color w:val="414145"/>
        </w:rPr>
        <w:t>Fra Andrije Kačića</w:t>
      </w:r>
      <w:r w:rsidR="00E747A0">
        <w:rPr>
          <w:rFonts w:ascii="Titillium Web" w:hAnsi="Titillium Web" w:cs="Open Sans"/>
          <w:color w:val="414145"/>
        </w:rPr>
        <w:t xml:space="preserve"> </w:t>
      </w:r>
      <w:r>
        <w:rPr>
          <w:rFonts w:ascii="Titillium Web" w:hAnsi="Titillium Web" w:cs="Open Sans"/>
          <w:color w:val="414145"/>
        </w:rPr>
        <w:t>Miošića 26, 10 000 Zagreb</w:t>
      </w:r>
    </w:p>
    <w:p w14:paraId="5955C519" w14:textId="77777777" w:rsidR="00E21F35" w:rsidRDefault="00E21F35" w:rsidP="00E21F35">
      <w:pPr>
        <w:ind w:left="708"/>
        <w:rPr>
          <w:rFonts w:ascii="Titillium Web" w:hAnsi="Titillium Web" w:cs="Open Sans"/>
          <w:color w:val="414145"/>
        </w:rPr>
      </w:pPr>
      <w:r>
        <w:rPr>
          <w:rFonts w:ascii="Titillium Web" w:hAnsi="Titillium Web" w:cs="Open Sans"/>
          <w:color w:val="414145"/>
        </w:rPr>
        <w:t>Privremena adresa: Kranjčevićeva 2, 10 000 Zagreb</w:t>
      </w:r>
    </w:p>
    <w:p w14:paraId="4A774019" w14:textId="77777777" w:rsidR="00E21F35" w:rsidRDefault="00E21F35" w:rsidP="00E21F35">
      <w:pPr>
        <w:ind w:left="708"/>
        <w:rPr>
          <w:rFonts w:ascii="Titillium Web" w:hAnsi="Titillium Web" w:cs="Open Sans"/>
          <w:color w:val="414145"/>
        </w:rPr>
      </w:pPr>
      <w:r>
        <w:rPr>
          <w:rFonts w:ascii="Titillium Web" w:hAnsi="Titillium Web" w:cs="Open Sans"/>
          <w:color w:val="414145"/>
        </w:rPr>
        <w:t>Telefon: +385 1 4690 810</w:t>
      </w:r>
    </w:p>
    <w:p w14:paraId="5BE2EE20" w14:textId="54BA926B" w:rsidR="00E21F35" w:rsidRDefault="00E21F35" w:rsidP="00E21F35">
      <w:pPr>
        <w:ind w:left="708"/>
        <w:rPr>
          <w:rFonts w:ascii="Titillium Web" w:hAnsi="Titillium Web" w:cs="Open Sans"/>
          <w:color w:val="414145"/>
        </w:rPr>
      </w:pPr>
      <w:r>
        <w:rPr>
          <w:rFonts w:ascii="Titillium Web" w:hAnsi="Titillium Web" w:cs="Open Sans"/>
          <w:color w:val="414145"/>
        </w:rPr>
        <w:t>Telefaks: +385 1 4828 050 (telefa</w:t>
      </w:r>
      <w:r w:rsidR="00E747A0">
        <w:rPr>
          <w:rFonts w:ascii="Titillium Web" w:hAnsi="Titillium Web" w:cs="Open Sans"/>
          <w:color w:val="414145"/>
        </w:rPr>
        <w:t>ks</w:t>
      </w:r>
      <w:r>
        <w:rPr>
          <w:rFonts w:ascii="Titillium Web" w:hAnsi="Titillium Web" w:cs="Open Sans"/>
          <w:color w:val="414145"/>
        </w:rPr>
        <w:t xml:space="preserve"> privremeno ne radi zbog preseljenja)</w:t>
      </w:r>
    </w:p>
    <w:p w14:paraId="2BD622CF" w14:textId="77777777" w:rsidR="00E21F35" w:rsidRDefault="00E21F35" w:rsidP="00E21F35">
      <w:pPr>
        <w:ind w:left="708"/>
        <w:rPr>
          <w:rFonts w:ascii="Titillium Web" w:hAnsi="Titillium Web" w:cs="Open Sans"/>
          <w:color w:val="414145"/>
        </w:rPr>
      </w:pPr>
      <w:r>
        <w:rPr>
          <w:rFonts w:ascii="Titillium Web" w:hAnsi="Titillium Web" w:cs="Open Sans"/>
          <w:color w:val="414145"/>
        </w:rPr>
        <w:t>E-mail: ured.dekana@grad.unizg.hr</w:t>
      </w:r>
    </w:p>
    <w:p w14:paraId="5102293A" w14:textId="77777777" w:rsidR="00E21F35" w:rsidRDefault="00E21F35" w:rsidP="00E21F35">
      <w:pPr>
        <w:ind w:left="708"/>
        <w:rPr>
          <w:rFonts w:ascii="Titillium Web" w:hAnsi="Titillium Web" w:cs="Open Sans"/>
          <w:color w:val="414145"/>
        </w:rPr>
      </w:pPr>
      <w:r>
        <w:rPr>
          <w:rFonts w:ascii="Titillium Web" w:hAnsi="Titillium Web" w:cs="Open Sans"/>
          <w:color w:val="414145"/>
        </w:rPr>
        <w:t>OIB: 62924153420</w:t>
      </w:r>
    </w:p>
    <w:p w14:paraId="1ACD55A0" w14:textId="77777777" w:rsidR="00420D88" w:rsidRPr="00CB07BD" w:rsidRDefault="00420D88" w:rsidP="00E21F35">
      <w:pPr>
        <w:jc w:val="both"/>
        <w:rPr>
          <w:rFonts w:ascii="Titillium Web" w:hAnsi="Titillium Web" w:cstheme="minorHAnsi"/>
        </w:rPr>
      </w:pPr>
    </w:p>
    <w:sectPr w:rsidR="00420D88" w:rsidRPr="00CB07B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C3A3" w14:textId="77777777" w:rsidR="00411EDD" w:rsidRDefault="00411EDD" w:rsidP="00420D88">
      <w:r>
        <w:separator/>
      </w:r>
    </w:p>
  </w:endnote>
  <w:endnote w:type="continuationSeparator" w:id="0">
    <w:p w14:paraId="1E03707C" w14:textId="77777777" w:rsidR="00411EDD" w:rsidRDefault="00411EDD" w:rsidP="00420D88">
      <w:r>
        <w:continuationSeparator/>
      </w:r>
    </w:p>
  </w:endnote>
  <w:endnote w:type="continuationNotice" w:id="1">
    <w:p w14:paraId="48065685" w14:textId="77777777" w:rsidR="00411EDD" w:rsidRDefault="00411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Medium">
    <w:panose1 w:val="020006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367626"/>
      <w:docPartObj>
        <w:docPartGallery w:val="Page Numbers (Bottom of Page)"/>
        <w:docPartUnique/>
      </w:docPartObj>
    </w:sdtPr>
    <w:sdtContent>
      <w:p w14:paraId="27AC1CF0" w14:textId="1A94359C" w:rsidR="00420D88" w:rsidRDefault="00420D8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77143" w14:textId="77777777" w:rsidR="00420D88" w:rsidRDefault="00420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3E82" w14:textId="77777777" w:rsidR="00411EDD" w:rsidRDefault="00411EDD" w:rsidP="00420D88">
      <w:r>
        <w:separator/>
      </w:r>
    </w:p>
  </w:footnote>
  <w:footnote w:type="continuationSeparator" w:id="0">
    <w:p w14:paraId="3A1EBD16" w14:textId="77777777" w:rsidR="00411EDD" w:rsidRDefault="00411EDD" w:rsidP="00420D88">
      <w:r>
        <w:continuationSeparator/>
      </w:r>
    </w:p>
  </w:footnote>
  <w:footnote w:type="continuationNotice" w:id="1">
    <w:p w14:paraId="2C86EF4D" w14:textId="77777777" w:rsidR="00411EDD" w:rsidRDefault="00411EDD"/>
  </w:footnote>
  <w:footnote w:id="2">
    <w:p w14:paraId="60E62A51" w14:textId="468B8510" w:rsidR="00E21F35" w:rsidRPr="00E21F35" w:rsidRDefault="00E21F35" w:rsidP="00E21F35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E21F35">
        <w:rPr>
          <w:i/>
          <w:iCs/>
        </w:rPr>
        <w:t>Dizajnom se naziva vanjski izgled (pojavnost) nekog proizvoda ili predmeta. Dizajn je ono što proizvod čini privlačnim, dopadljivim ili poželjnim, te na taj način bitno pridonosi prodaji proizvoda i povećanju njegove komercijalne vrijednosti.</w:t>
      </w:r>
    </w:p>
    <w:p w14:paraId="0129EAF7" w14:textId="77777777" w:rsidR="00E21F35" w:rsidRPr="00E21F35" w:rsidRDefault="00E21F35" w:rsidP="00E21F35">
      <w:pPr>
        <w:pStyle w:val="FootnoteText"/>
        <w:rPr>
          <w:i/>
          <w:iCs/>
        </w:rPr>
      </w:pPr>
      <w:r w:rsidRPr="00E21F35">
        <w:rPr>
          <w:i/>
          <w:iCs/>
        </w:rPr>
        <w:t>Industrijskim dizajnom kao jednim od oblika intelektualnog vlasništva štite se prostorna ili plošna obilježja proizvoda (industrijski ili zanatski proizvedenog predmeta), vidljiva pri njegovoj normalnoj (namjenskoj) uporabi. Prostorna obilježja su oblik i obris proizvoda, a plošna obilježja su šare, crte, boje, tekstura te kombinacije navedenih obilježja.</w:t>
      </w:r>
    </w:p>
    <w:p w14:paraId="4D5B0A8D" w14:textId="77777777" w:rsidR="00E21F35" w:rsidRPr="00E21F35" w:rsidRDefault="00E21F35" w:rsidP="00E21F35">
      <w:pPr>
        <w:pStyle w:val="FootnoteText"/>
        <w:rPr>
          <w:i/>
          <w:iCs/>
        </w:rPr>
      </w:pPr>
      <w:r w:rsidRPr="00E21F35">
        <w:rPr>
          <w:i/>
          <w:iCs/>
        </w:rPr>
        <w:t>Industrijski dizajn kao pravo industrijskog vlasništva se u većini zemalja stječe registracijom na temelju rezultata provedenog postupka ispitivanja prijave za zaštitu dizajna koje obavlja za to ovlašteno tijelo, a u Republici Hrvatskoj je to Državni zavod za intelektualno vlasništvo. Pristupanjem Europskoj uniji u Hrvatskoj je uvedeno i jedno novo pravo intelektualnog vlasništva – neregistrirani dizajn Zajednice - koje se stječe bez formalnog postupka registracije, odgovarajućim otkrivanjem dizajna javnosti na području Europske unije, što od 1. srpnja 2013. uključuje i Hrvatsku. Prava koja proizlaze temeljem neregistriranog dizajna odnose se na zabranu zlouporabe kroz umnožavanje zaštićenog dizajna.</w:t>
      </w:r>
    </w:p>
    <w:p w14:paraId="691EF0A6" w14:textId="77777777" w:rsidR="00E21F35" w:rsidRPr="00E21F35" w:rsidRDefault="00E21F35" w:rsidP="00E21F35">
      <w:pPr>
        <w:pStyle w:val="FootnoteText"/>
        <w:rPr>
          <w:i/>
          <w:iCs/>
        </w:rPr>
      </w:pPr>
      <w:r w:rsidRPr="00E21F35">
        <w:rPr>
          <w:i/>
          <w:iCs/>
        </w:rPr>
        <w:t>Temeljni uvjeti koje neki dizajn mora zadovoljiti za priznanje zaštite kao intelektualnog vlasništva su novost i individualni karakter dizajna, te da njegova obilježja nisu isključivo uvjetovana tehničkom funkcijom.</w:t>
      </w:r>
    </w:p>
    <w:p w14:paraId="0441A392" w14:textId="77777777" w:rsidR="00E21F35" w:rsidRPr="00E21F35" w:rsidRDefault="00E21F35" w:rsidP="00E21F35">
      <w:pPr>
        <w:pStyle w:val="FootnoteText"/>
        <w:rPr>
          <w:i/>
          <w:iCs/>
        </w:rPr>
      </w:pPr>
      <w:r w:rsidRPr="00E21F35">
        <w:rPr>
          <w:i/>
          <w:iCs/>
        </w:rPr>
        <w:t>Zaštićeni (registrirani) industrijski dizajn osigurava nositelju (vlasniku) isključivo pravo korištenja, odnosno izrade, ponude, stavljanja u promet, te uvoza ili izvoza proizvoda u kojem je industrijski dizajn sadržan ili na kojeg je industrijski dizajn primijenjen.</w:t>
      </w:r>
    </w:p>
    <w:p w14:paraId="03267184" w14:textId="77777777" w:rsidR="00E21F35" w:rsidRPr="00E21F35" w:rsidRDefault="00E21F35" w:rsidP="00E21F35">
      <w:pPr>
        <w:pStyle w:val="FootnoteText"/>
        <w:rPr>
          <w:i/>
          <w:iCs/>
        </w:rPr>
      </w:pPr>
      <w:r w:rsidRPr="00E21F35">
        <w:rPr>
          <w:i/>
          <w:iCs/>
        </w:rPr>
        <w:t>Zaštićeni dizajn predstavlja intelektualno vlasništvo čiju uporabu vlasnik može odobriti drugim osobama za vrijeme trajanja zaštite davanjem licence, ili ga može u potpunosti prenijeti na drugu osobu.</w:t>
      </w:r>
    </w:p>
    <w:p w14:paraId="2C77B537" w14:textId="77777777" w:rsidR="00E21F35" w:rsidRDefault="00E21F35" w:rsidP="00E21F35">
      <w:pPr>
        <w:pStyle w:val="FootnoteText"/>
        <w:rPr>
          <w:i/>
          <w:iCs/>
        </w:rPr>
      </w:pPr>
      <w:r w:rsidRPr="00E21F35">
        <w:rPr>
          <w:i/>
          <w:iCs/>
        </w:rPr>
        <w:t>Zaštita industrijskog dizajna predstavlja učinkovito tržišno sredstvo kojim proizvođač može zaštititi vlastita ulaganja u razvoj i proizvodnju proizvoda.</w:t>
      </w:r>
    </w:p>
    <w:p w14:paraId="4066D405" w14:textId="1837B717" w:rsidR="00E21F35" w:rsidRDefault="00E21F35" w:rsidP="00E21F35">
      <w:pPr>
        <w:pStyle w:val="FootnoteText"/>
        <w:rPr>
          <w:i/>
          <w:iCs/>
        </w:rPr>
      </w:pPr>
      <w:r>
        <w:rPr>
          <w:i/>
          <w:iCs/>
        </w:rPr>
        <w:t xml:space="preserve">Tekst preuzet </w:t>
      </w:r>
      <w:hyperlink r:id="rId1" w:history="1">
        <w:r>
          <w:rPr>
            <w:rStyle w:val="Hyperlink"/>
            <w:i/>
            <w:iCs/>
          </w:rPr>
          <w:t>s mrežnih stranica Državnog zavoda za intelektualno vlasništvo</w:t>
        </w:r>
      </w:hyperlink>
      <w:r>
        <w:rPr>
          <w:i/>
          <w:iCs/>
        </w:rPr>
        <w:t xml:space="preserve">. </w:t>
      </w:r>
    </w:p>
    <w:p w14:paraId="43E09065" w14:textId="120C92E5" w:rsidR="00E21F35" w:rsidRDefault="00000000" w:rsidP="00E21F35">
      <w:pPr>
        <w:pStyle w:val="FootnoteText"/>
        <w:rPr>
          <w:i/>
          <w:iCs/>
        </w:rPr>
      </w:pPr>
      <w:hyperlink r:id="rId2" w:history="1">
        <w:r w:rsidR="00E21F35" w:rsidRPr="00E21F35">
          <w:rPr>
            <w:rStyle w:val="Hyperlink"/>
            <w:i/>
            <w:iCs/>
          </w:rPr>
          <w:t>Zakon o industrijskom dizajnu</w:t>
        </w:r>
      </w:hyperlink>
      <w:r w:rsidR="00E21F35">
        <w:rPr>
          <w:i/>
          <w:iCs/>
        </w:rPr>
        <w:t xml:space="preserve"> i </w:t>
      </w:r>
      <w:hyperlink r:id="rId3" w:history="1">
        <w:r w:rsidR="00E21F35">
          <w:rPr>
            <w:rStyle w:val="Hyperlink"/>
            <w:i/>
            <w:iCs/>
          </w:rPr>
          <w:t>Pravilnik o industrijskom dizajnu</w:t>
        </w:r>
      </w:hyperlink>
      <w:r w:rsidR="00E21F35">
        <w:rPr>
          <w:i/>
          <w:iCs/>
        </w:rPr>
        <w:t xml:space="preserve"> dostupni su na poveznicama. </w:t>
      </w:r>
      <w:r w:rsidR="00D82770">
        <w:rPr>
          <w:i/>
          <w:iCs/>
        </w:rPr>
        <w:t xml:space="preserve">Propisi EU koji reguliraju industrijski dizajn dostupni su </w:t>
      </w:r>
      <w:hyperlink r:id="rId4" w:history="1">
        <w:r w:rsidR="00E21F35">
          <w:rPr>
            <w:rStyle w:val="Hyperlink"/>
            <w:i/>
            <w:iCs/>
          </w:rPr>
          <w:t xml:space="preserve">na mrežnim stranicama </w:t>
        </w:r>
        <w:proofErr w:type="spellStart"/>
        <w:r w:rsidR="00E21F35">
          <w:rPr>
            <w:rStyle w:val="Hyperlink"/>
            <w:i/>
            <w:iCs/>
          </w:rPr>
          <w:t>DZIVa</w:t>
        </w:r>
        <w:proofErr w:type="spellEnd"/>
      </w:hyperlink>
      <w:r w:rsidR="00E21F35">
        <w:rPr>
          <w:i/>
          <w:iCs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D28"/>
    <w:multiLevelType w:val="hybridMultilevel"/>
    <w:tmpl w:val="15C80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D10"/>
    <w:multiLevelType w:val="hybridMultilevel"/>
    <w:tmpl w:val="F46204C8"/>
    <w:lvl w:ilvl="0" w:tplc="46AA7A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3829"/>
    <w:multiLevelType w:val="hybridMultilevel"/>
    <w:tmpl w:val="6DCCC17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F9E4861"/>
    <w:multiLevelType w:val="hybridMultilevel"/>
    <w:tmpl w:val="E760CE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19830">
    <w:abstractNumId w:val="2"/>
  </w:num>
  <w:num w:numId="2" w16cid:durableId="1688678224">
    <w:abstractNumId w:val="0"/>
  </w:num>
  <w:num w:numId="3" w16cid:durableId="1319724252">
    <w:abstractNumId w:val="1"/>
  </w:num>
  <w:num w:numId="4" w16cid:durableId="193345312">
    <w:abstractNumId w:val="2"/>
  </w:num>
  <w:num w:numId="5" w16cid:durableId="99268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69"/>
    <w:rsid w:val="00026866"/>
    <w:rsid w:val="000768A2"/>
    <w:rsid w:val="000C10FA"/>
    <w:rsid w:val="000D2138"/>
    <w:rsid w:val="001233AE"/>
    <w:rsid w:val="001761FD"/>
    <w:rsid w:val="001A3392"/>
    <w:rsid w:val="001E42A6"/>
    <w:rsid w:val="002322FD"/>
    <w:rsid w:val="00254F36"/>
    <w:rsid w:val="00333769"/>
    <w:rsid w:val="003656D2"/>
    <w:rsid w:val="00377158"/>
    <w:rsid w:val="003A363F"/>
    <w:rsid w:val="003F26ED"/>
    <w:rsid w:val="00411EDD"/>
    <w:rsid w:val="00420D88"/>
    <w:rsid w:val="00424A99"/>
    <w:rsid w:val="00492891"/>
    <w:rsid w:val="004B1725"/>
    <w:rsid w:val="004C3AD2"/>
    <w:rsid w:val="00516D2D"/>
    <w:rsid w:val="00582D3B"/>
    <w:rsid w:val="005D6B2E"/>
    <w:rsid w:val="005F451B"/>
    <w:rsid w:val="00645CB4"/>
    <w:rsid w:val="00652D20"/>
    <w:rsid w:val="00710454"/>
    <w:rsid w:val="00731932"/>
    <w:rsid w:val="007470E6"/>
    <w:rsid w:val="00757FD2"/>
    <w:rsid w:val="00791AAC"/>
    <w:rsid w:val="007B4358"/>
    <w:rsid w:val="00802C26"/>
    <w:rsid w:val="00806938"/>
    <w:rsid w:val="00824C91"/>
    <w:rsid w:val="0086685C"/>
    <w:rsid w:val="008C0F10"/>
    <w:rsid w:val="00906754"/>
    <w:rsid w:val="00924712"/>
    <w:rsid w:val="00931141"/>
    <w:rsid w:val="00946645"/>
    <w:rsid w:val="009D347D"/>
    <w:rsid w:val="009F2960"/>
    <w:rsid w:val="009F332C"/>
    <w:rsid w:val="00A17DE8"/>
    <w:rsid w:val="00AB58A8"/>
    <w:rsid w:val="00B73BC3"/>
    <w:rsid w:val="00B8688E"/>
    <w:rsid w:val="00BA3569"/>
    <w:rsid w:val="00BB45AA"/>
    <w:rsid w:val="00C25A5B"/>
    <w:rsid w:val="00C47608"/>
    <w:rsid w:val="00C537D4"/>
    <w:rsid w:val="00C7289C"/>
    <w:rsid w:val="00CB07BD"/>
    <w:rsid w:val="00D82770"/>
    <w:rsid w:val="00D86872"/>
    <w:rsid w:val="00DD31B4"/>
    <w:rsid w:val="00E01AF2"/>
    <w:rsid w:val="00E21F35"/>
    <w:rsid w:val="00E747A0"/>
    <w:rsid w:val="00EE5CBC"/>
    <w:rsid w:val="00F82343"/>
    <w:rsid w:val="00F90AB1"/>
    <w:rsid w:val="00FB3B01"/>
    <w:rsid w:val="00FD2159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B1B1"/>
  <w15:chartTrackingRefBased/>
  <w15:docId w15:val="{F1A6CEB3-F41E-462E-AD34-02F41C9F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0D8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20D8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hr-HR"/>
      <w14:ligatures w14:val="none"/>
    </w:rPr>
  </w:style>
  <w:style w:type="character" w:customStyle="1" w:styleId="NoSpacingChar">
    <w:name w:val="No Spacing Char"/>
    <w:link w:val="NoSpacing"/>
    <w:uiPriority w:val="1"/>
    <w:rsid w:val="00420D88"/>
    <w:rPr>
      <w:rFonts w:ascii="Times New Roman" w:eastAsia="Times New Roman" w:hAnsi="Times New Roman" w:cs="Times New Roman"/>
      <w:noProof/>
      <w:kern w:val="0"/>
      <w:sz w:val="24"/>
      <w:szCs w:val="24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0D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8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0D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8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Revision">
    <w:name w:val="Revision"/>
    <w:hidden/>
    <w:uiPriority w:val="99"/>
    <w:semiHidden/>
    <w:rsid w:val="009F29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E21F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F35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box460215">
    <w:name w:val="box_460215"/>
    <w:basedOn w:val="Normal"/>
    <w:rsid w:val="00E21F35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uiPriority w:val="99"/>
    <w:semiHidden/>
    <w:unhideWhenUsed/>
    <w:rsid w:val="00E21F35"/>
    <w:rPr>
      <w:vertAlign w:val="superscript"/>
    </w:rPr>
  </w:style>
  <w:style w:type="table" w:styleId="TableGrid">
    <w:name w:val="Table Grid"/>
    <w:basedOn w:val="TableNormal"/>
    <w:uiPriority w:val="39"/>
    <w:rsid w:val="00E21F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1F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ziv.hr/files/File/zastita/pravilnik_dizajn_HR.pdf" TargetMode="External"/><Relationship Id="rId2" Type="http://schemas.openxmlformats.org/officeDocument/2006/relationships/hyperlink" Target="https://www.dziv.hr/files/File/zastita/zakon_dizajn_HR.pdf" TargetMode="External"/><Relationship Id="rId1" Type="http://schemas.openxmlformats.org/officeDocument/2006/relationships/hyperlink" Target="https://www.dziv.hr/hr/intelektualno-vlasnistvo/industrijski-dizajn/" TargetMode="External"/><Relationship Id="rId4" Type="http://schemas.openxmlformats.org/officeDocument/2006/relationships/hyperlink" Target="https://www.dziv.hr/hr/intelektualno-vlasnistvo/industrijski-dizajn/zakonodavstvo/eu-propi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Javorski Milošić</dc:creator>
  <cp:keywords/>
  <dc:description/>
  <cp:lastModifiedBy>Ida Javorski Milošić</cp:lastModifiedBy>
  <cp:revision>3</cp:revision>
  <dcterms:created xsi:type="dcterms:W3CDTF">2023-10-17T13:49:00Z</dcterms:created>
  <dcterms:modified xsi:type="dcterms:W3CDTF">2024-03-25T10:46:00Z</dcterms:modified>
</cp:coreProperties>
</file>